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6"/>
        </w:rPr>
        <w:t>Rapport de prétraitement des données</w:t>
        <w:br/>
        <w:t>UCI Heart Disease</w:t>
      </w:r>
    </w:p>
    <w:p>
      <w:pPr>
        <w:jc w:val="center"/>
      </w:pPr>
      <w:r>
        <w:t>Pipeline Scikit-learn (imputation, encodage, mise à l’échelle, modèle)</w:t>
      </w:r>
    </w:p>
    <w:p>
      <w:r>
        <w:t xml:space="preserve"> </w:t>
      </w:r>
    </w:p>
    <w:p>
      <w:pPr>
        <w:pStyle w:val="Heading1"/>
      </w:pPr>
      <w:r>
        <w:t>1. Contexte et objectif</w:t>
      </w:r>
    </w:p>
    <w:p>
      <w:r>
        <w:t>L’objectif est de transformer les données brutes du jeu UCI Heart Disease en un format exploitable pour un modèle de classification. Le flux couvre : gestion des valeurs manquantes, encodage des variables catégorielles, mise à l’échelle des variables numériques et automatisation du processus via un Pipeline.</w:t>
      </w:r>
    </w:p>
    <w:p>
      <w:pPr>
        <w:pStyle w:val="Heading1"/>
      </w:pPr>
      <w:r>
        <w:t>2. Données</w:t>
      </w:r>
    </w:p>
    <w:p>
      <w:r>
        <w:t>Variables utilisées : numériques (age, trestbps, chol, thalch, oldpeak, ca) et catégorielles (sex, dataset, cp, fbs, restecg, exang, slope, thal). La cible est la variable num (niveau de maladie).</w:t>
      </w:r>
    </w:p>
    <w:p>
      <w:pPr>
        <w:pStyle w:val="Heading1"/>
      </w:pPr>
      <w:r>
        <w:t>3. Méthodologie de prétraitement (justifications)</w:t>
      </w:r>
    </w:p>
    <w:p>
      <w:pPr>
        <w:pStyle w:val="Heading2"/>
      </w:pPr>
      <w:r>
        <w:t>3.1 Imputation</w:t>
      </w:r>
    </w:p>
    <w:p>
      <w:r>
        <w:t>• Numériques : imputation par la médiane. Elle est plus robuste aux valeurs extrêmes (outliers) qu’une moyenne.</w:t>
        <w:br/>
        <w:t>• Catégorielles : imputation par la valeur la plus fréquente (mode), cohérente avec des modalités discrètes.</w:t>
      </w:r>
    </w:p>
    <w:p>
      <w:pPr>
        <w:pStyle w:val="Heading2"/>
      </w:pPr>
      <w:r>
        <w:t>3.2 Encodage des catégorielles</w:t>
      </w:r>
    </w:p>
    <w:p>
      <w:r>
        <w:t>• slope : encodage ordinal avec l’ordre (downsloping &lt; flat &lt; upsloping), car la variable possède une hiérarchie.</w:t>
        <w:br/>
        <w:t>• Autres catégorielles : One-Hot Encoding avec drop='first' pour éviter la colinéarité (dummy trap) et handle_unknown='ignore' pour rester robuste si une modalité apparaît en test mais pas en entraînement.</w:t>
      </w:r>
    </w:p>
    <w:p>
      <w:pPr>
        <w:pStyle w:val="Heading2"/>
      </w:pPr>
      <w:r>
        <w:t>3.3 Mise à l’échelle</w:t>
      </w:r>
    </w:p>
    <w:p>
      <w:r>
        <w:t>Deux variantes sont comparées :</w:t>
        <w:br/>
        <w:t>• StandardScaler : centrage-réduction (moyenne 0, écart-type 1).</w:t>
        <w:br/>
        <w:t>• RobustScaler : basé sur la médiane et l’IQR, plus stable en présence d’outliers (ex. cholestérol).</w:t>
      </w:r>
    </w:p>
    <w:p>
      <w:pPr>
        <w:pStyle w:val="Heading2"/>
      </w:pPr>
      <w:r>
        <w:t>3.4 Transformations complémentaires (analyse)</w:t>
      </w:r>
    </w:p>
    <w:p>
      <w:r>
        <w:t>• Discrétisation (KBinsDiscretizer) : conversion d’une variable continue en intervalles pour analyser des profils et simplifier certains signaux.</w:t>
        <w:br/>
        <w:t>• PowerTransformer (Yeo-Johnson) : réduction de l’asymétrie (skewness) sur oldpeak.</w:t>
        <w:br/>
        <w:t>• PolynomialFeatures (degré 2) sur un sous-ensemble de variables (ex. age, trestbps, chol) pour capturer des relations non linéaires, tout en limitant l’explosion combinatoire.</w:t>
      </w:r>
    </w:p>
    <w:p>
      <w:pPr>
        <w:pStyle w:val="Heading1"/>
      </w:pPr>
      <w:r>
        <w:t>4. Pipeline complet (ColumnTransformer + make_pipeline)</w:t>
      </w:r>
    </w:p>
    <w:p>
      <w:r>
        <w:t>Le prétraitement est encapsulé dans un ColumnTransformer :</w:t>
        <w:br/>
        <w:t>• Bloc numérique : SimpleImputer(median) + (StandardScaler ou RobustScaler)</w:t>
        <w:br/>
        <w:t>• Bloc slope : SimpleImputer(most_frequent) + OrdinalEncoder</w:t>
        <w:br/>
        <w:t>• Bloc nominal : SimpleImputer(most_frequent) + OneHotEncoder</w:t>
        <w:br/>
        <w:t>Le tout est enchaîné à un modèle LogisticRegression dans un Pipeline unique, ce qui garantit un flux reproductible et évite les fuites d’information (les transformations sont apprises uniquement sur le train).</w:t>
      </w:r>
    </w:p>
    <w:p>
      <w:r>
        <w:t>Le découpage train/test utilise stratify=y pour conserver la proportion des classes dans les deux ensembles, ce qui rend l’évaluation plus fiable lorsque la distribution des classes est déséquilibrée.</w:t>
      </w:r>
    </w:p>
    <w:p>
      <w:pPr>
        <w:pStyle w:val="Heading1"/>
      </w:pPr>
      <w:r>
        <w:t>5. Résultats et interprétation</w:t>
      </w:r>
    </w:p>
    <w:p>
      <w:r>
        <w:t>Précision (accuracy) obtenue :</w:t>
        <w:br/>
        <w:t>• Pipeline StandardScaler : 0.598</w:t>
        <w:br/>
        <w:t>• Pipeline RobustScaler   : 0.603</w:t>
      </w:r>
    </w:p>
    <w:p>
      <w:r>
        <w:t>Interprétation (bref) : le pipeline avec RobustScaler donne une légère amélioration, ce qui est cohérent si certaines variables numériques contiennent des valeurs atypiques. Les performances restent modestes : une analyse du déséquilibre de classes, des métriques complémentaires (F1, recall) et/ou des modèles plus flexibles pourraient être envisagés pour améliorer la détection.</w:t>
      </w:r>
    </w:p>
    <w:p>
      <w:pPr>
        <w:pStyle w:val="Heading1"/>
      </w:pPr>
      <w:r>
        <w:t>6. Conclusion</w:t>
      </w:r>
    </w:p>
    <w:p>
      <w:r>
        <w:t>Le pipeline final automatise l’ensemble du prétraitement et la classification dans un objet unique, cohérent avec les étapes précédentes (imputation médiane/mode, encodage ordinal + one-hot, mise à l’échelle). La comparaison Standard vs Robust suggère un avantage léger du scaling robuste, utile en présence d’outliers.</w:t>
      </w:r>
    </w:p>
    <w:p>
      <w:r>
        <w:br w:type="page"/>
      </w:r>
    </w:p>
    <w:p>
      <w:pPr>
        <w:pStyle w:val="Heading1"/>
      </w:pPr>
      <w:r>
        <w:t>Annexe – Infographie récapitulative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217920" cy="347025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nam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7025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134" w:right="1247" w:bottom="1134" w:left="12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 w:eastAsia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